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shd w:val="clear" w:color="auto" w:fill="ffffff"/>
        </w:rPr>
      </w:pPr>
    </w:p>
    <w:p>
      <w:pPr>
        <w:pStyle w:val="style0"/>
        <w:spacing w:lineRule="auto" w:line="360"/>
        <w:rPr>
          <w:b/>
        </w:rPr>
      </w:pPr>
    </w:p>
    <w:p>
      <w:pPr>
        <w:pStyle w:val="style0"/>
        <w:spacing w:lineRule="auto" w:line="360"/>
        <w:rPr/>
      </w:pPr>
    </w:p>
    <w:p>
      <w:pPr>
        <w:pStyle w:val="style0"/>
        <w:jc w:val="center"/>
        <w:rPr/>
      </w:pPr>
      <w:r>
        <w:t>Determining Pay Mix and Pay Levels in a Competitive External Environment</w:t>
      </w:r>
    </w:p>
    <w:p>
      <w:pPr>
        <w:pStyle w:val="style0"/>
        <w:spacing w:lineRule="auto" w:line="360"/>
        <w:rPr>
          <w:b/>
        </w:rPr>
      </w:pPr>
    </w:p>
    <w:p>
      <w:pPr>
        <w:pStyle w:val="style0"/>
        <w:spacing w:lineRule="auto" w:line="360"/>
        <w:rPr>
          <w:b/>
        </w:rPr>
      </w:pPr>
    </w:p>
    <w:p>
      <w:pPr>
        <w:pStyle w:val="style0"/>
        <w:spacing w:lineRule="auto" w:line="360"/>
        <w:rPr>
          <w:b/>
        </w:rPr>
      </w:pPr>
    </w:p>
    <w:p>
      <w:pPr>
        <w:pStyle w:val="style0"/>
        <w:spacing w:lineRule="auto" w:line="360"/>
        <w:rPr>
          <w:b/>
        </w:rPr>
      </w:pPr>
    </w:p>
    <w:p>
      <w:pPr>
        <w:pStyle w:val="style0"/>
        <w:spacing w:lineRule="auto" w:line="360"/>
        <w:jc w:val="center"/>
        <w:rPr>
          <w:b/>
        </w:rPr>
      </w:pPr>
    </w:p>
    <w:p>
      <w:pPr>
        <w:pStyle w:val="style0"/>
        <w:spacing w:lineRule="auto" w:line="240"/>
        <w:jc w:val="center"/>
        <w:rPr/>
      </w:pPr>
      <w:r>
        <w:t>Student</w:t>
      </w:r>
      <w:r>
        <w:t>'</w:t>
      </w:r>
      <w:r>
        <w:t>s name</w:t>
      </w:r>
    </w:p>
    <w:p>
      <w:pPr>
        <w:pStyle w:val="style0"/>
        <w:spacing w:lineRule="auto" w:line="240"/>
        <w:jc w:val="center"/>
        <w:rPr/>
      </w:pPr>
    </w:p>
    <w:p>
      <w:pPr>
        <w:pStyle w:val="style0"/>
        <w:spacing w:lineRule="auto" w:line="240"/>
        <w:jc w:val="center"/>
        <w:rPr/>
      </w:pPr>
      <w:r>
        <w:t>Institutional affiliation</w:t>
      </w:r>
    </w:p>
    <w:p>
      <w:pPr>
        <w:pStyle w:val="style0"/>
        <w:spacing w:lineRule="auto" w:line="240"/>
        <w:jc w:val="center"/>
        <w:rPr/>
      </w:pPr>
    </w:p>
    <w:p>
      <w:pPr>
        <w:pStyle w:val="style0"/>
        <w:spacing w:lineRule="auto" w:line="240"/>
        <w:jc w:val="center"/>
        <w:rPr/>
      </w:pPr>
      <w:r>
        <w:t>Course</w:t>
      </w:r>
      <w:r>
        <w:t xml:space="preserve"> name</w:t>
      </w:r>
    </w:p>
    <w:p>
      <w:pPr>
        <w:pStyle w:val="style0"/>
        <w:spacing w:lineRule="auto" w:line="240"/>
        <w:jc w:val="center"/>
        <w:rPr/>
      </w:pPr>
    </w:p>
    <w:p>
      <w:pPr>
        <w:pStyle w:val="style0"/>
        <w:spacing w:lineRule="auto" w:line="240"/>
        <w:jc w:val="center"/>
        <w:rPr/>
      </w:pPr>
      <w:r>
        <w:t>Course number</w:t>
      </w:r>
    </w:p>
    <w:p>
      <w:pPr>
        <w:pStyle w:val="style0"/>
        <w:spacing w:lineRule="auto" w:line="240"/>
        <w:jc w:val="center"/>
        <w:rPr/>
      </w:pPr>
    </w:p>
    <w:p>
      <w:pPr>
        <w:pStyle w:val="style0"/>
        <w:spacing w:lineRule="auto" w:line="240"/>
        <w:jc w:val="center"/>
        <w:rPr/>
      </w:pPr>
      <w:r>
        <w:t>Professor</w:t>
      </w:r>
      <w:r>
        <w:t>'</w:t>
      </w:r>
      <w:r>
        <w:t>s name</w:t>
      </w:r>
    </w:p>
    <w:p>
      <w:pPr>
        <w:pStyle w:val="style0"/>
        <w:spacing w:lineRule="auto" w:line="240"/>
        <w:jc w:val="center"/>
        <w:rPr/>
      </w:pPr>
    </w:p>
    <w:p>
      <w:pPr>
        <w:pStyle w:val="style0"/>
        <w:spacing w:lineRule="auto" w:line="240"/>
        <w:jc w:val="center"/>
        <w:rPr/>
      </w:pPr>
      <w:r>
        <w:t>Date</w:t>
      </w:r>
    </w:p>
    <w:p>
      <w:pPr>
        <w:pStyle w:val="style0"/>
        <w:ind w:firstLine="0"/>
        <w:jc w:val="both"/>
        <w:rPr/>
      </w:pPr>
    </w:p>
    <w:p>
      <w:pPr>
        <w:pStyle w:val="style0"/>
        <w:ind w:firstLine="0"/>
        <w:jc w:val="both"/>
        <w:rPr>
          <w:b/>
        </w:rPr>
      </w:pPr>
    </w:p>
    <w:p>
      <w:pPr>
        <w:pStyle w:val="style0"/>
        <w:ind w:firstLine="0"/>
        <w:jc w:val="both"/>
        <w:rPr>
          <w:b/>
        </w:rPr>
      </w:pPr>
    </w:p>
    <w:p>
      <w:pPr>
        <w:pStyle w:val="style179"/>
        <w:numPr>
          <w:ilvl w:val="0"/>
          <w:numId w:val="1"/>
        </w:numPr>
        <w:spacing w:lineRule="auto" w:line="480"/>
        <w:ind w:firstLine="567"/>
        <w:jc w:val="center"/>
        <w:rPr>
          <w:b/>
        </w:rPr>
      </w:pPr>
      <w:r>
        <w:rPr>
          <w:b/>
        </w:rPr>
        <w:t>Analyze three factors that shape an organization's external competitiveness.</w:t>
      </w:r>
    </w:p>
    <w:p>
      <w:pPr>
        <w:pStyle w:val="style0"/>
        <w:rPr/>
      </w:pPr>
      <w:r>
        <w:t>External competitiveness that shapes an organization includes internal rivalry forces in its product marketplaces, the labor market's interplay of competition, and the organizational components and difficulties of the workforce. Each of these elements is considered independently and in-depth: There are several assumptions about labor markets, which include: The company operates in a competitive market that is competing for market share, Employees would strive to increase their revenues to the greatest extent possible, Pay rates to impact the cost of human resourcing to a significant extent and finally Human resourcing may be switched around and is not restricted in any way ("Disclaiming competitive accountability: Pay and pensions," 2019).</w:t>
      </w:r>
    </w:p>
    <w:p>
      <w:pPr>
        <w:pStyle w:val="style0"/>
        <w:rPr/>
      </w:pPr>
      <w:r>
        <w:t xml:space="preserve">When it comes to product-market factors: In completely competitive markets, where companies could come and leave at whim and if utilities, services, and commodities were all the same, the effect of market forces would decide the wage-paying capability to a great extent. Each company seeks to win market honors under these conditions, and these exchanges establish the optimal pay structure. Given the high level of competition, increases in product pricing would result in reduced revenues if implemented ("Disclaiming competitive accountability: Pay and pensions," 2019). </w:t>
      </w:r>
      <w:r>
        <w:rPr>
          <w:rFonts w:eastAsia="Times New Roman"/>
        </w:rPr>
        <w:t xml:space="preserve"> Finally, when it comes to organizational structure, it is thought that whether the firm is capital-intensive or labor-intensive, whether it is market-driven or technology-driven, all of these factors influence the shape of an organization's external competitiveness </w:t>
      </w:r>
      <w:r>
        <w:t>("Disclaiming competitive accountability: Pay and pensions," 2019).</w:t>
      </w:r>
      <w:r>
        <w:rPr>
          <w:rFonts w:eastAsia="Times New Roman"/>
        </w:rPr>
        <w:t xml:space="preserve"> </w:t>
      </w:r>
    </w:p>
    <w:p>
      <w:pPr>
        <w:pStyle w:val="style0"/>
        <w:jc w:val="center"/>
        <w:rPr>
          <w:b/>
        </w:rPr>
      </w:pPr>
      <w:r>
        <w:rPr>
          <w:b/>
        </w:rPr>
        <w:t>Examine the difference between lead, lag, or match policies when determining pay level policies.</w:t>
      </w:r>
    </w:p>
    <w:p>
      <w:pPr>
        <w:pStyle w:val="style94"/>
        <w:spacing w:before="0" w:beforeAutospacing="false" w:after="150" w:afterAutospacing="false" w:lineRule="auto" w:line="480"/>
        <w:ind w:left="360"/>
        <w:rPr>
          <w:b/>
        </w:rPr>
      </w:pPr>
      <w:r>
        <w:rPr>
          <w:rStyle w:val="style87"/>
          <w:b w:val="false"/>
        </w:rPr>
        <w:t xml:space="preserve">Match </w:t>
      </w:r>
    </w:p>
    <w:p>
      <w:pPr>
        <w:pStyle w:val="style0"/>
        <w:rPr/>
      </w:pPr>
      <w:r>
        <w:t xml:space="preserve">It is the setting pay levels in proportion to those in the current marketplace. It is also a standard compensation method for businesses. A company matching its competitors' pay rates ensures that its compensation structure remains competitive, improving its ability to recruit and retain good employees </w:t>
      </w:r>
      <w:r>
        <w:rPr>
          <w:shd w:val="clear" w:color="auto" w:fill="ffffff"/>
        </w:rPr>
        <w:t>("What are the advantages or disadvantages of a lead, match or lag compensation strategy?," 2021)</w:t>
      </w:r>
      <w:r>
        <w:t>.</w:t>
      </w:r>
    </w:p>
    <w:p>
      <w:pPr>
        <w:pStyle w:val="style94"/>
        <w:spacing w:before="0" w:beforeAutospacing="false" w:after="150" w:afterAutospacing="false" w:lineRule="auto" w:line="480"/>
        <w:ind w:left="360"/>
        <w:rPr>
          <w:b/>
        </w:rPr>
      </w:pPr>
      <w:r>
        <w:rPr>
          <w:rStyle w:val="style87"/>
          <w:b w:val="false"/>
        </w:rPr>
        <w:t>Lea</w:t>
      </w:r>
      <w:bookmarkStart w:id="0" w:name="_GoBack"/>
      <w:bookmarkEnd w:id="0"/>
      <w:r>
        <w:rPr>
          <w:rStyle w:val="style87"/>
          <w:b w:val="false"/>
        </w:rPr>
        <w:t xml:space="preserve">d </w:t>
      </w:r>
    </w:p>
    <w:p>
      <w:pPr>
        <w:pStyle w:val="style0"/>
        <w:rPr/>
      </w:pPr>
      <w:r>
        <w:t xml:space="preserve">It is a pay level policy method that may raise qualified applicant selection rates, improve contestant supply, boosting productivity and morale, deter unionization attempts, and reduce employee attrition. For industries in vastly competitive labor markets, this approach is frequently the best alternative because managers who implement this plan will need to keep a careful eye on it to see if the predicted advantages are being achieved </w:t>
      </w:r>
      <w:r>
        <w:rPr>
          <w:shd w:val="clear" w:color="auto" w:fill="ffffff"/>
        </w:rPr>
        <w:t>("What are the advantages or disadvantages of a lead, match or lag compensation strategy?," 2021)</w:t>
      </w:r>
      <w:r>
        <w:t>.</w:t>
      </w:r>
    </w:p>
    <w:p>
      <w:pPr>
        <w:pStyle w:val="style94"/>
        <w:spacing w:before="0" w:beforeAutospacing="false" w:after="150" w:afterAutospacing="false" w:lineRule="auto" w:line="480"/>
        <w:ind w:left="360"/>
        <w:rPr>
          <w:b/>
        </w:rPr>
      </w:pPr>
      <w:r>
        <w:rPr>
          <w:rStyle w:val="style87"/>
          <w:b w:val="false"/>
        </w:rPr>
        <w:t xml:space="preserve">Lag </w:t>
      </w:r>
    </w:p>
    <w:p>
      <w:pPr>
        <w:pStyle w:val="style0"/>
        <w:rPr/>
      </w:pPr>
      <w:r>
        <w:t xml:space="preserve">Businesses select a lag policy in the market because they don't have the financial means to pay higher rates. It involves reducing employee turnover and discontent. It's not a standard policy because corporations that are forced or choose to set pay rates below market rates are </w:t>
      </w:r>
      <w:r>
        <w:t xml:space="preserve">more susceptible to labor market fluctuations </w:t>
      </w:r>
      <w:r>
        <w:rPr>
          <w:shd w:val="clear" w:color="auto" w:fill="ffffff"/>
        </w:rPr>
        <w:t>("What are the advantages or disadvantages of a lead, match or lag compensation strategy?," 2021)</w:t>
      </w:r>
      <w:r>
        <w:t>.</w:t>
      </w:r>
    </w:p>
    <w:p>
      <w:pPr>
        <w:pStyle w:val="style94"/>
        <w:spacing w:before="0" w:beforeAutospacing="false" w:after="150" w:afterAutospacing="false" w:lineRule="auto" w:line="480"/>
        <w:ind w:left="360"/>
        <w:jc w:val="center"/>
        <w:rPr>
          <w:b/>
        </w:rPr>
      </w:pPr>
      <w:r>
        <w:rPr>
          <w:b/>
        </w:rPr>
        <w:t>Research a company in your current industry and examine why you believe it uses its current pay level policy.</w:t>
      </w:r>
    </w:p>
    <w:p>
      <w:pPr>
        <w:pStyle w:val="style0"/>
        <w:ind w:left="360"/>
        <w:jc w:val="center"/>
        <w:rPr/>
      </w:pPr>
      <w:r>
        <w:rPr>
          <w:noProof/>
        </w:rPr>
        <w:drawing>
          <wp:inline distL="0" distT="0" distB="0" distR="0">
            <wp:extent cx="5286375" cy="2554605"/>
            <wp:effectExtent l="0" t="0" r="9525"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286375" cy="2554605"/>
                    </a:xfrm>
                    <a:prstGeom prst="rect"/>
                  </pic:spPr>
                </pic:pic>
              </a:graphicData>
            </a:graphic>
          </wp:inline>
        </w:drawing>
      </w:r>
    </w:p>
    <w:p>
      <w:pPr>
        <w:pStyle w:val="style0"/>
        <w:rPr>
          <w:shd w:val="clear" w:color="auto" w:fill="ffffff"/>
        </w:rPr>
      </w:pPr>
      <w:r>
        <w:rPr>
          <w:shd w:val="clear" w:color="auto" w:fill="ffffff"/>
        </w:rPr>
        <w:t xml:space="preserve">A company like ENOCHIAN BIOSCIENCES INC uses the current pay level policy ("Inline XBRL viewer," n.d.). The chart above shows the average base pay core compensation and total cash compensation for Diversity Equity &amp; Inclusion Specialist IV. Diversity Equity &amp; Inclusion Specialist IV base salaries at firms like ENOCHIAN BIOSCIENCES INC range from $101,490 to $133,090, with an average of $118,190 (Site built by: Salary.com, n.d.). Total cash payments, including bonuses and yearly incentives, range from $106,490 to $146,790, with an average of $126,490 (Site built by: Salary.com, n.d.). It complies with corporate policies, and external diversity laws are ensured by the Diversity Equity &amp; Inclusion Specialist IV (Site built by: Salary.com, n.d.). </w:t>
      </w:r>
    </w:p>
    <w:p>
      <w:pPr>
        <w:pStyle w:val="style0"/>
        <w:rPr>
          <w:shd w:val="clear" w:color="auto" w:fill="ffffff"/>
        </w:rPr>
      </w:pPr>
      <w:r>
        <w:rPr>
          <w:b/>
        </w:rPr>
        <w:t>Examine factors that determine the relevant market for conducting a survey.</w:t>
      </w:r>
    </w:p>
    <w:p>
      <w:pPr>
        <w:pStyle w:val="style0"/>
        <w:rPr>
          <w:rStyle w:val="style4104"/>
          <w:spacing w:val="-3"/>
          <w:bdr w:val="none" w:sz="0" w:space="0" w:color="auto" w:frame="true"/>
          <w:shd w:val="clear" w:color="auto" w:fill="ffffff"/>
        </w:rPr>
      </w:pPr>
      <w:r>
        <w:rPr>
          <w:rStyle w:val="style4104"/>
          <w:spacing w:val="-3"/>
          <w:bdr w:val="none" w:sz="0" w:space="0" w:color="auto" w:frame="true"/>
          <w:shd w:val="clear" w:color="auto" w:fill="ffffff"/>
        </w:rPr>
        <w:t xml:space="preserve">Several criteria go into determining the appropriate market for a survey. </w:t>
      </w:r>
    </w:p>
    <w:p>
      <w:pPr>
        <w:pStyle w:val="style0"/>
        <w:rPr>
          <w:rStyle w:val="style4104"/>
          <w:spacing w:val="-3"/>
          <w:bdr w:val="none" w:sz="0" w:space="0" w:color="auto" w:frame="true"/>
          <w:shd w:val="clear" w:color="auto" w:fill="ffffff"/>
        </w:rPr>
      </w:pPr>
      <w:r>
        <w:rPr>
          <w:rStyle w:val="style4104"/>
          <w:spacing w:val="-3"/>
          <w:bdr w:val="none" w:sz="0" w:space="0" w:color="auto" w:frame="true"/>
          <w:shd w:val="clear" w:color="auto" w:fill="ffffff"/>
        </w:rPr>
        <w:t>1. The location</w:t>
      </w:r>
    </w:p>
    <w:p>
      <w:pPr>
        <w:pStyle w:val="style0"/>
        <w:rPr>
          <w:rStyle w:val="style4104"/>
          <w:spacing w:val="-3"/>
          <w:bdr w:val="none" w:sz="0" w:space="0" w:color="auto" w:frame="true"/>
          <w:shd w:val="clear" w:color="auto" w:fill="ffffff"/>
        </w:rPr>
      </w:pPr>
      <w:r>
        <w:rPr>
          <w:rStyle w:val="style4104"/>
          <w:spacing w:val="-3"/>
          <w:bdr w:val="none" w:sz="0" w:space="0" w:color="auto" w:frame="true"/>
          <w:shd w:val="clear" w:color="auto" w:fill="ffffff"/>
        </w:rPr>
        <w:t xml:space="preserve">2. The competitors and their products are one of them, </w:t>
      </w:r>
    </w:p>
    <w:p>
      <w:pPr>
        <w:pStyle w:val="style0"/>
        <w:rPr>
          <w:rStyle w:val="style4104"/>
          <w:spacing w:val="-3"/>
          <w:bdr w:val="none" w:sz="0" w:space="0" w:color="auto" w:frame="true"/>
          <w:shd w:val="clear" w:color="auto" w:fill="ffffff"/>
        </w:rPr>
      </w:pPr>
      <w:r>
        <w:rPr>
          <w:rStyle w:val="style4104"/>
          <w:spacing w:val="-3"/>
          <w:bdr w:val="none" w:sz="0" w:space="0" w:color="auto" w:frame="true"/>
          <w:shd w:val="clear" w:color="auto" w:fill="ffffff"/>
        </w:rPr>
        <w:t>3. The occupations' knowledge and skills necessary to execute the job and their importance to the organization's success.</w:t>
      </w:r>
    </w:p>
    <w:p>
      <w:pPr>
        <w:pStyle w:val="style0"/>
        <w:rPr/>
      </w:pPr>
      <w:r>
        <w:rPr>
          <w:rStyle w:val="style4104"/>
          <w:spacing w:val="-2"/>
          <w:bdr w:val="none" w:sz="0" w:space="0" w:color="auto" w:frame="true"/>
          <w:shd w:val="clear" w:color="auto" w:fill="ffffff"/>
        </w:rPr>
        <w:t xml:space="preserve">Because of the following considerations, determining a suitable market is critical. For example, if the estimations of rivals' pay rates are off, your company's pay rates and pay mix will be set incorrectly. If the firm cannot determine the right KSAs for the position, it will not retain and recruit qualified personnel. Finally, the company's location is essential because you are not meeting the cost of living criteria. Since you pay employees in region A, specific amount and believe it would be the same in region B, your compensation structure will not satisfy the labor market's demands in that </w:t>
      </w:r>
      <w:r>
        <w:t>area (Vomberg &amp; Klarmann, 2021).</w:t>
      </w:r>
    </w:p>
    <w:p>
      <w:pPr>
        <w:pStyle w:val="style179"/>
        <w:numPr>
          <w:ilvl w:val="0"/>
          <w:numId w:val="1"/>
        </w:numPr>
        <w:spacing w:lineRule="auto" w:line="480"/>
        <w:ind w:firstLine="567"/>
        <w:rPr>
          <w:b/>
        </w:rPr>
      </w:pPr>
      <w:r>
        <w:rPr>
          <w:b/>
        </w:rPr>
        <w:t>Outline the steps organizations should take if they discover discrimination as a factor in their pay policy.</w:t>
      </w:r>
    </w:p>
    <w:p>
      <w:pPr>
        <w:pStyle w:val="style0"/>
        <w:rPr>
          <w:shd w:val="clear" w:color="auto" w:fill="ffffff"/>
        </w:rPr>
      </w:pPr>
      <w:r>
        <w:rPr>
          <w:shd w:val="clear" w:color="auto" w:fill="ffffff"/>
        </w:rPr>
        <w:t xml:space="preserve">Starting with a pay equity audit is the first approach for corporate executives and boards to verify their firm is paying people fairly. Companies should ensure that the auditors are dealing with correct personnel data before beginning the audit. Each employee's job classification, length of service, and other information, such as age, race, and gender, should be obtainable. Provisional to the complexity and quality of human resource record-keeping structures, </w:t>
      </w:r>
      <w:r>
        <w:rPr>
          <w:shd w:val="clear" w:color="auto" w:fill="ffffff"/>
        </w:rPr>
        <w:t>retrieving this data may impose a substantial clean-up effort ("How to identify — and fix — Pay inequality at your company," 2020).</w:t>
      </w:r>
    </w:p>
    <w:p>
      <w:pPr>
        <w:pStyle w:val="style0"/>
        <w:rPr>
          <w:shd w:val="clear" w:color="auto" w:fill="ffffff"/>
        </w:rPr>
      </w:pPr>
      <w:r>
        <w:t xml:space="preserve">Remediation is the next step. Organizations' overall remediation costs range from 0.1 percent to 0.3 percent of their total pay budget </w:t>
      </w:r>
      <w:r>
        <w:rPr>
          <w:shd w:val="clear" w:color="auto" w:fill="ffffff"/>
        </w:rPr>
        <w:t>("How to identify — and fix — Pay inequality at your company," 2020)</w:t>
      </w:r>
      <w:r>
        <w:t xml:space="preserve">. Corporations may slowly boost an employee's compensation over several years until it varies to the goal amount, dependent on financial constraints. The next step is to pinpoint operating flaws that initially contributed to the salary inequalities, such as decentralized hiring power and erroneous job classifications, which permit significant disparities in the establishment of salaries for the same occupations </w:t>
      </w:r>
      <w:r>
        <w:rPr>
          <w:shd w:val="clear" w:color="auto" w:fill="ffffff"/>
        </w:rPr>
        <w:t>("How to identify — and fix — Pay inequality at your company," 2020)</w:t>
      </w:r>
      <w:r>
        <w:t xml:space="preserve">. Finally, once causative awareness has been recognized, the company human resource with legal support should continue to monitor the pay processes, recruiting, and promotion </w:t>
      </w:r>
      <w:r>
        <w:rPr>
          <w:shd w:val="clear" w:color="auto" w:fill="ffffff"/>
        </w:rPr>
        <w:t>("How to identify — and fix — Pay inequality at your company," 2020)</w:t>
      </w:r>
      <w:r>
        <w:t xml:space="preserve">. </w:t>
      </w:r>
    </w:p>
    <w:p>
      <w:pPr>
        <w:pStyle w:val="style179"/>
        <w:numPr>
          <w:ilvl w:val="0"/>
          <w:numId w:val="1"/>
        </w:numPr>
        <w:spacing w:lineRule="auto" w:line="480"/>
        <w:ind w:firstLine="567"/>
        <w:rPr>
          <w:b/>
        </w:rPr>
      </w:pPr>
      <w:r>
        <w:rPr>
          <w:b/>
        </w:rPr>
        <w:t>Explain why a company would conduct a job evaluation and not simply use market pricing</w:t>
      </w:r>
    </w:p>
    <w:p>
      <w:pPr>
        <w:pStyle w:val="style94"/>
        <w:spacing w:before="0" w:beforeAutospacing="false" w:after="150" w:afterAutospacing="false" w:lineRule="auto" w:line="480"/>
        <w:rPr/>
      </w:pPr>
      <w:r>
        <w:t xml:space="preserve">Companies should undertake job evaluation procedures, according to HR Consultants, Inc. External analysis alone cannot provide companies with all of the information they want to create a competitive remuneration plan. Sentiments of unfairness, Pay difference, and other issues may weaken the business culture and expose it to legal repercussions if it exclusively focuses on external marketing prices. With job evaluation, they may reduce those risks and give pay and benefits that will help the company accomplish its objectives by utilizing best practice </w:t>
      </w:r>
      <w:r>
        <w:t xml:space="preserve">compensation methodologies that conduct a job evaluation </w:t>
      </w:r>
      <w:r>
        <w:rPr>
          <w:shd w:val="clear" w:color="auto" w:fill="ffffff"/>
        </w:rPr>
        <w:t>(Armstrong &amp; Brown, 2017, p. 153-160)</w:t>
      </w:r>
      <w:r>
        <w:t>.</w:t>
      </w: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p>
    <w:p>
      <w:pPr>
        <w:pStyle w:val="style0"/>
        <w:shd w:val="clear" w:color="auto" w:fill="ffffff"/>
        <w:spacing w:after="0" w:lineRule="auto" w:line="240"/>
        <w:jc w:val="center"/>
        <w:rPr>
          <w:rFonts w:eastAsia="Times New Roman"/>
        </w:rPr>
      </w:pPr>
      <w:r>
        <w:rPr>
          <w:rFonts w:eastAsia="Times New Roman"/>
        </w:rPr>
        <w:t>References</w:t>
      </w:r>
    </w:p>
    <w:p>
      <w:pPr>
        <w:pStyle w:val="style0"/>
        <w:shd w:val="clear" w:color="auto" w:fill="ffffff"/>
        <w:spacing w:after="0" w:lineRule="atLeast" w:line="550"/>
        <w:ind w:left="720" w:right="75" w:hanging="720"/>
        <w:rPr>
          <w:rFonts w:eastAsia="Times New Roman"/>
        </w:rPr>
      </w:pPr>
      <w:r>
        <w:rPr>
          <w:rFonts w:eastAsia="Times New Roman"/>
        </w:rPr>
        <w:t>Armstrong, M., &amp; Brown, D. (2017). Job evaluation versus market pricing: Competing or combining methods of pay determination? </w:t>
      </w:r>
      <w:r>
        <w:rPr>
          <w:rFonts w:eastAsia="Times New Roman"/>
          <w:i/>
          <w:iCs/>
        </w:rPr>
        <w:t>Compensation &amp; Benefits Review</w:t>
      </w:r>
      <w:r>
        <w:rPr>
          <w:rFonts w:eastAsia="Times New Roman"/>
        </w:rPr>
        <w:t>, </w:t>
      </w:r>
      <w:r>
        <w:rPr>
          <w:rFonts w:eastAsia="Times New Roman"/>
          <w:i/>
          <w:iCs/>
        </w:rPr>
        <w:t>49</w:t>
      </w:r>
      <w:r>
        <w:rPr>
          <w:rFonts w:eastAsia="Times New Roman"/>
        </w:rPr>
        <w:t>(3), 153-160. </w:t>
      </w:r>
      <w:r>
        <w:rPr/>
        <w:fldChar w:fldCharType="begin"/>
      </w:r>
      <w:r>
        <w:instrText xml:space="preserve"> HYPERLINK "https://doi.org/10.1177/0886368718765827" </w:instrText>
      </w:r>
      <w:r>
        <w:rPr/>
        <w:fldChar w:fldCharType="separate"/>
      </w:r>
      <w:r>
        <w:rPr>
          <w:rFonts w:eastAsia="Times New Roman"/>
          <w:u w:val="single"/>
        </w:rPr>
        <w:t>https://doi.org/10.1177/0886368718765827</w:t>
      </w:r>
      <w:r>
        <w:rPr/>
        <w:fldChar w:fldCharType="end"/>
      </w:r>
    </w:p>
    <w:p>
      <w:pPr>
        <w:pStyle w:val="style0"/>
        <w:shd w:val="clear" w:color="auto" w:fill="ffffff"/>
        <w:spacing w:after="0" w:lineRule="atLeast" w:line="550"/>
        <w:ind w:left="720" w:right="75" w:hanging="720"/>
        <w:rPr>
          <w:rFonts w:eastAsia="Times New Roman"/>
        </w:rPr>
      </w:pPr>
      <w:r>
        <w:rPr>
          <w:rFonts w:eastAsia="Times New Roman"/>
        </w:rPr>
        <w:t>Disclaiming competitive accountability: Pay and pensions. (2019). </w:t>
      </w:r>
      <w:r>
        <w:rPr>
          <w:rFonts w:eastAsia="Times New Roman"/>
          <w:i/>
          <w:iCs/>
        </w:rPr>
        <w:t>Competitive Accountability in Academic Life</w:t>
      </w:r>
      <w:r>
        <w:rPr>
          <w:rFonts w:eastAsia="Times New Roman"/>
        </w:rPr>
        <w:t>, 107-124. </w:t>
      </w:r>
      <w:r>
        <w:rPr/>
        <w:fldChar w:fldCharType="begin"/>
      </w:r>
      <w:r>
        <w:instrText xml:space="preserve"> HYPERLINK "https://doi.org/10.4337/9781788976138.00011" </w:instrText>
      </w:r>
      <w:r>
        <w:rPr/>
        <w:fldChar w:fldCharType="separate"/>
      </w:r>
      <w:r>
        <w:rPr>
          <w:rFonts w:eastAsia="Times New Roman"/>
          <w:u w:val="single"/>
        </w:rPr>
        <w:t>https://doi.org/10.4337/9781788976138.00011</w:t>
      </w:r>
      <w:r>
        <w:rPr/>
        <w:fldChar w:fldCharType="end"/>
      </w:r>
    </w:p>
    <w:p>
      <w:pPr>
        <w:pStyle w:val="style0"/>
        <w:shd w:val="clear" w:color="auto" w:fill="ffffff"/>
        <w:spacing w:after="0" w:lineRule="atLeast" w:line="550"/>
        <w:ind w:left="720" w:right="75" w:hanging="720"/>
        <w:rPr>
          <w:rFonts w:eastAsia="Times New Roman"/>
        </w:rPr>
      </w:pPr>
      <w:r>
        <w:rPr>
          <w:rFonts w:eastAsia="Times New Roman"/>
          <w:i/>
          <w:iCs/>
        </w:rPr>
        <w:t>How to identify — and fix — Pay inequality at your company</w:t>
      </w:r>
      <w:r>
        <w:rPr>
          <w:rFonts w:eastAsia="Times New Roman"/>
        </w:rPr>
        <w:t>. (2020, November 3). Harvard Business Review. </w:t>
      </w:r>
      <w:r>
        <w:rPr/>
        <w:fldChar w:fldCharType="begin"/>
      </w:r>
      <w:r>
        <w:instrText xml:space="preserve"> HYPERLINK "https://hbr.org/2020/11/how-to-identify-and-fix-pay-inequality-at-your-company" </w:instrText>
      </w:r>
      <w:r>
        <w:rPr/>
        <w:fldChar w:fldCharType="separate"/>
      </w:r>
      <w:r>
        <w:rPr>
          <w:rFonts w:eastAsia="Times New Roman"/>
          <w:u w:val="single"/>
        </w:rPr>
        <w:t>https://hbr.org/2020/11/how-to-identify-and-fix-pay-inequality-at-your-company</w:t>
      </w:r>
      <w:r>
        <w:rPr/>
        <w:fldChar w:fldCharType="end"/>
      </w:r>
    </w:p>
    <w:p>
      <w:pPr>
        <w:pStyle w:val="style0"/>
        <w:shd w:val="clear" w:color="auto" w:fill="ffffff"/>
        <w:spacing w:after="0" w:lineRule="atLeast" w:line="550"/>
        <w:ind w:left="720" w:right="75" w:hanging="720"/>
        <w:rPr>
          <w:rFonts w:eastAsia="Times New Roman"/>
        </w:rPr>
      </w:pPr>
      <w:r>
        <w:rPr>
          <w:rFonts w:eastAsia="Times New Roman"/>
          <w:i/>
          <w:iCs/>
        </w:rPr>
        <w:t>Inline XBRL viewer</w:t>
      </w:r>
      <w:r>
        <w:rPr>
          <w:rFonts w:eastAsia="Times New Roman"/>
        </w:rPr>
        <w:t>. (n.d.). SEC.gov. </w:t>
      </w:r>
      <w:r>
        <w:rPr/>
        <w:fldChar w:fldCharType="begin"/>
      </w:r>
      <w:r>
        <w:instrText xml:space="preserve"> HYPERLINK "https://www.sec.gov/ix?doc=/Archives/edgar/data/1527728/000173112221001565/e3109_10k.htm" </w:instrText>
      </w:r>
      <w:r>
        <w:rPr/>
        <w:fldChar w:fldCharType="separate"/>
      </w:r>
      <w:r>
        <w:rPr>
          <w:rFonts w:eastAsia="Times New Roman"/>
          <w:u w:val="single"/>
        </w:rPr>
        <w:t>https://www.sec.gov/ix?doc=/Archives/edgar/data/1527728/000173112221001565/e3109_10k.htm</w:t>
      </w:r>
      <w:r>
        <w:rPr/>
        <w:fldChar w:fldCharType="end"/>
      </w:r>
    </w:p>
    <w:p>
      <w:pPr>
        <w:pStyle w:val="style0"/>
        <w:shd w:val="clear" w:color="auto" w:fill="ffffff"/>
        <w:spacing w:after="0" w:lineRule="atLeast" w:line="550"/>
        <w:ind w:left="720" w:right="75" w:hanging="720"/>
        <w:rPr>
          <w:rFonts w:eastAsia="Times New Roman"/>
        </w:rPr>
      </w:pPr>
      <w:r>
        <w:rPr>
          <w:rFonts w:eastAsia="Times New Roman"/>
        </w:rPr>
        <w:t>Site built by: Salary.com. (n.d.). </w:t>
      </w:r>
      <w:r>
        <w:rPr>
          <w:rFonts w:eastAsia="Times New Roman"/>
          <w:i/>
          <w:iCs/>
        </w:rPr>
        <w:t>Enochian biosciences Inc diversity equity &amp; inclusion specialist IV salary</w:t>
      </w:r>
      <w:r>
        <w:rPr>
          <w:rFonts w:eastAsia="Times New Roman"/>
        </w:rPr>
        <w:t>. Salary.com. </w:t>
      </w:r>
      <w:r>
        <w:rPr/>
        <w:fldChar w:fldCharType="begin"/>
      </w:r>
      <w:r>
        <w:instrText xml:space="preserve"> HYPERLINK "https://www.salary.com/research/salary/employer/enochian-biosciences-inc/diversity-equity-and-inclusion-specialist-iv-salary" </w:instrText>
      </w:r>
      <w:r>
        <w:rPr/>
        <w:fldChar w:fldCharType="separate"/>
      </w:r>
      <w:r>
        <w:rPr>
          <w:rFonts w:eastAsia="Times New Roman"/>
          <w:u w:val="single"/>
        </w:rPr>
        <w:t>https://www.salary.com/research/salary/employer/enochian-biosciences-inc/diversity-equity-and-inclusion-specialist-iv-salary</w:t>
      </w:r>
      <w:r>
        <w:rPr/>
        <w:fldChar w:fldCharType="end"/>
      </w:r>
    </w:p>
    <w:p>
      <w:pPr>
        <w:pStyle w:val="style0"/>
        <w:shd w:val="clear" w:color="auto" w:fill="ffffff"/>
        <w:spacing w:after="0" w:lineRule="atLeast" w:line="550"/>
        <w:ind w:left="720" w:right="75" w:hanging="720"/>
        <w:rPr>
          <w:rFonts w:eastAsia="Times New Roman"/>
        </w:rPr>
      </w:pPr>
      <w:r>
        <w:rPr>
          <w:rFonts w:eastAsia="Times New Roman"/>
        </w:rPr>
        <w:t>Vomberg, A., &amp; Klarmann, M. (2021). Crafting survey research: A systematic process for conducting survey research. </w:t>
      </w:r>
      <w:r>
        <w:rPr>
          <w:rFonts w:eastAsia="Times New Roman"/>
          <w:i/>
          <w:iCs/>
        </w:rPr>
        <w:t>Handbook of Market Research</w:t>
      </w:r>
      <w:r>
        <w:rPr>
          <w:rFonts w:eastAsia="Times New Roman"/>
        </w:rPr>
        <w:t>, 1-53. </w:t>
      </w:r>
      <w:r>
        <w:rPr/>
        <w:fldChar w:fldCharType="begin"/>
      </w:r>
      <w:r>
        <w:instrText xml:space="preserve"> HYPERLINK "https://doi.org/10.1007/978-3-319-05542-8_4-1" </w:instrText>
      </w:r>
      <w:r>
        <w:rPr/>
        <w:fldChar w:fldCharType="separate"/>
      </w:r>
      <w:r>
        <w:rPr>
          <w:rFonts w:eastAsia="Times New Roman"/>
          <w:u w:val="single"/>
        </w:rPr>
        <w:t>https://doi.org/10.1007/978-3-319-05542-8_4-1</w:t>
      </w:r>
      <w:r>
        <w:rPr/>
        <w:fldChar w:fldCharType="end"/>
      </w:r>
    </w:p>
    <w:p>
      <w:pPr>
        <w:pStyle w:val="style0"/>
        <w:shd w:val="clear" w:color="auto" w:fill="ffffff"/>
        <w:spacing w:after="0" w:lineRule="atLeast" w:line="550"/>
        <w:ind w:left="720" w:right="75" w:hanging="720"/>
        <w:rPr>
          <w:rFonts w:eastAsia="Times New Roman"/>
        </w:rPr>
      </w:pPr>
      <w:r>
        <w:rPr>
          <w:rFonts w:eastAsia="Times New Roman"/>
          <w:i/>
          <w:iCs/>
        </w:rPr>
        <w:t>What are the advantages or disadvantages of a lead, match or lag compensation strategy?</w:t>
      </w:r>
      <w:r>
        <w:rPr>
          <w:rFonts w:eastAsia="Times New Roman"/>
        </w:rPr>
        <w:t> (2021, May 4). SHRM. </w:t>
      </w:r>
      <w:r>
        <w:rPr/>
        <w:fldChar w:fldCharType="begin"/>
      </w:r>
      <w:r>
        <w:instrText xml:space="preserve"> HYPERLINK "https://www.shrm.org/resourcesandtools/tools-and-samples/hr-qa/pages/cms_024253.aspx" </w:instrText>
      </w:r>
      <w:r>
        <w:rPr/>
        <w:fldChar w:fldCharType="separate"/>
      </w:r>
      <w:r>
        <w:rPr>
          <w:rFonts w:eastAsia="Times New Roman"/>
          <w:u w:val="single"/>
        </w:rPr>
        <w:t>https://www.shrm.org/resourcesandtools/tools-and-samples/hr-qa/pages/cms_024253.aspx</w:t>
      </w:r>
      <w:r>
        <w:rPr/>
        <w:fldChar w:fldCharType="end"/>
      </w:r>
    </w:p>
    <w:p>
      <w:pPr>
        <w:pStyle w:val="style94"/>
        <w:spacing w:before="0" w:beforeAutospacing="false" w:after="150" w:afterAutospacing="false"/>
        <w:rPr/>
      </w:pPr>
    </w:p>
    <w:p>
      <w:pPr>
        <w:pStyle w:val="style0"/>
        <w:ind w:firstLine="0"/>
        <w:jc w:val="both"/>
        <w:rPr>
          <w:b/>
        </w:rPr>
      </w:pPr>
    </w:p>
    <w:sectPr>
      <w:headerReference w:type="default" r:id="rId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360"/>
      <w:rPr/>
    </w:pPr>
  </w:p>
  <w:p>
    <w:pPr>
      <w:pStyle w:val="style0"/>
      <w:jc w:val="center"/>
      <w:rPr/>
    </w:pPr>
    <w:r>
      <w:t>Determining Pay Mix and Pay Levels in a Competitive External Environment</w:t>
    </w:r>
    <w:r>
      <w:tab/>
    </w:r>
    <w:r>
      <w:rPr/>
      <w:fldChar w:fldCharType="begin"/>
    </w:r>
    <w:r>
      <w:instrText xml:space="preserve"> PAGE   \* MERGEFORMAT </w:instrText>
    </w:r>
    <w:r>
      <w:rPr/>
      <w:fldChar w:fldCharType="separate"/>
    </w:r>
    <w:r>
      <w:rPr>
        <w:noProof/>
      </w:rPr>
      <w:t>7</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6323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EE721C7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hybridMultilevel"/>
    <w:tmpl w:val="1550D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80AE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4"/>
        <w:lang w:val="en-US" w:bidi="ar-SA" w:eastAsia="en-US"/>
      </w:rPr>
    </w:rPrDefault>
    <w:pPrDefault>
      <w:pPr>
        <w:spacing w:after="160" w:lineRule="auto" w:line="480"/>
        <w:ind w:firstLine="567"/>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paragraph" w:customStyle="1" w:styleId="style4097">
    <w:name w:val="intro__dek"/>
    <w:basedOn w:val="style0"/>
    <w:next w:val="style4097"/>
    <w:pPr>
      <w:spacing w:before="100" w:beforeAutospacing="true" w:after="100" w:afterAutospacing="true" w:lineRule="auto" w:line="240"/>
    </w:pPr>
    <w:rPr>
      <w:rFonts w:eastAsia="Times New Roman"/>
    </w:rPr>
  </w:style>
  <w:style w:type="paragraph" w:customStyle="1" w:styleId="style4098">
    <w:name w:val="intro__byline"/>
    <w:basedOn w:val="style0"/>
    <w:next w:val="style4098"/>
    <w:pPr>
      <w:spacing w:before="100" w:beforeAutospacing="true" w:after="100" w:afterAutospacing="true" w:lineRule="auto" w:line="240"/>
    </w:pPr>
    <w:rPr>
      <w:rFonts w:eastAsia="Times New Roman"/>
    </w:rPr>
  </w:style>
  <w:style w:type="character" w:styleId="style87">
    <w:name w:val="Strong"/>
    <w:basedOn w:val="style65"/>
    <w:next w:val="style87"/>
    <w:qFormat/>
    <w:uiPriority w:val="22"/>
    <w:rPr>
      <w:b/>
      <w:bCs/>
    </w:rPr>
  </w:style>
  <w:style w:type="paragraph" w:customStyle="1" w:styleId="style4099">
    <w:name w:val="prose"/>
    <w:basedOn w:val="style0"/>
    <w:next w:val="style4099"/>
    <w:pPr>
      <w:spacing w:before="100" w:beforeAutospacing="true" w:after="100" w:afterAutospacing="true" w:lineRule="auto" w:line="240"/>
    </w:pPr>
    <w:rPr>
      <w:rFonts w:eastAsia="Times New Roman"/>
    </w:rPr>
  </w:style>
  <w:style w:type="character" w:customStyle="1" w:styleId="style4100">
    <w:name w:val="scrap"/>
    <w:basedOn w:val="style65"/>
    <w:next w:val="style4100"/>
  </w:style>
  <w:style w:type="character" w:customStyle="1" w:styleId="style4101">
    <w:name w:val="publish"/>
    <w:basedOn w:val="style65"/>
    <w:next w:val="style4101"/>
  </w:style>
  <w:style w:type="paragraph" w:styleId="style94">
    <w:name w:val="Normal (Web)"/>
    <w:basedOn w:val="style0"/>
    <w:next w:val="style94"/>
    <w:uiPriority w:val="99"/>
    <w:pPr>
      <w:spacing w:before="100" w:beforeAutospacing="true" w:after="100" w:afterAutospacing="true" w:lineRule="auto" w:line="240"/>
    </w:pPr>
    <w:rPr>
      <w:rFonts w:eastAsia="Times New Roman"/>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2"/>
    <w:uiPriority w:val="99"/>
    <w:pPr>
      <w:tabs>
        <w:tab w:val="center" w:leader="none" w:pos="4680"/>
        <w:tab w:val="right" w:leader="none" w:pos="9360"/>
      </w:tabs>
      <w:spacing w:after="0" w:lineRule="auto" w:line="240"/>
    </w:pPr>
    <w:rPr/>
  </w:style>
  <w:style w:type="character" w:customStyle="1" w:styleId="style4102">
    <w:name w:val="Header Char_1c734543-6b03-43df-bb67-fc1386fc4b52"/>
    <w:basedOn w:val="style65"/>
    <w:next w:val="style4102"/>
    <w:link w:val="style31"/>
    <w:uiPriority w:val="99"/>
  </w:style>
  <w:style w:type="paragraph" w:styleId="style32">
    <w:name w:val="footer"/>
    <w:basedOn w:val="style0"/>
    <w:next w:val="style32"/>
    <w:link w:val="style4103"/>
    <w:uiPriority w:val="99"/>
    <w:pPr>
      <w:tabs>
        <w:tab w:val="center" w:leader="none" w:pos="4680"/>
        <w:tab w:val="right" w:leader="none" w:pos="9360"/>
      </w:tabs>
      <w:spacing w:after="0" w:lineRule="auto" w:line="240"/>
    </w:pPr>
    <w:rPr/>
  </w:style>
  <w:style w:type="character" w:customStyle="1" w:styleId="style4103">
    <w:name w:val="Footer Char_38ef55ba-c6cf-4b64-a543-7ad3b70b2b3b"/>
    <w:basedOn w:val="style65"/>
    <w:next w:val="style4103"/>
    <w:link w:val="style32"/>
    <w:uiPriority w:val="99"/>
  </w:style>
  <w:style w:type="paragraph" w:styleId="style179">
    <w:name w:val="List Paragraph"/>
    <w:basedOn w:val="style0"/>
    <w:next w:val="style179"/>
    <w:qFormat/>
    <w:uiPriority w:val="34"/>
    <w:pPr>
      <w:spacing w:lineRule="auto" w:line="259"/>
      <w:ind w:left="720"/>
      <w:contextualSpacing/>
    </w:pPr>
    <w:rPr/>
  </w:style>
  <w:style w:type="character" w:customStyle="1" w:styleId="style4104">
    <w:name w:val="t"/>
    <w:basedOn w:val="style65"/>
    <w:next w:val="style4104"/>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1265</Words>
  <Pages>8</Pages>
  <Characters>7731</Characters>
  <Application>WPS Office</Application>
  <DocSecurity>0</DocSecurity>
  <Paragraphs>81</Paragraphs>
  <ScaleCrop>false</ScaleCrop>
  <LinksUpToDate>false</LinksUpToDate>
  <CharactersWithSpaces>8976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2021-09-25T11:17:00Z</dcterms:created>
  <dc:creator>CHEBU</dc:creator>
  <lastModifiedBy>Infinix X650D</lastModifiedBy>
  <dcterms:modified xsi:type="dcterms:W3CDTF">2021-09-25T14:17:55Z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f69aadb989094610937c5e1d21949c0d</vt:lpwstr>
  </property>
</Properties>
</file>